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AF5" w:rsidRDefault="00BE1AF5" w:rsidP="00BE1AF5">
      <w:pPr>
        <w:shd w:val="clear" w:color="auto" w:fill="FFFFFF"/>
        <w:spacing w:after="0" w:line="240" w:lineRule="auto"/>
        <w:jc w:val="both"/>
        <w:outlineLvl w:val="1"/>
        <w:rPr>
          <w:rFonts w:ascii="Arial" w:eastAsia="Times New Roman" w:hAnsi="Arial" w:cs="Arial"/>
          <w:color w:val="333333"/>
          <w:sz w:val="45"/>
          <w:szCs w:val="45"/>
          <w:lang w:val="es-ES_tradnl" w:eastAsia="es-CR"/>
        </w:rPr>
      </w:pPr>
      <w:bookmarkStart w:id="0" w:name="_GoBack"/>
      <w:bookmarkEnd w:id="0"/>
    </w:p>
    <w:p w:rsidR="00BE1AF5" w:rsidRPr="00BE1AF5" w:rsidRDefault="00BE1AF5" w:rsidP="00BE1AF5">
      <w:pPr>
        <w:shd w:val="clear" w:color="auto" w:fill="FFFFFF"/>
        <w:spacing w:after="0" w:line="240" w:lineRule="auto"/>
        <w:jc w:val="both"/>
        <w:outlineLvl w:val="1"/>
        <w:rPr>
          <w:rFonts w:ascii="Arial" w:eastAsia="Times New Roman" w:hAnsi="Arial" w:cs="Arial"/>
          <w:color w:val="333333"/>
          <w:sz w:val="24"/>
          <w:szCs w:val="24"/>
          <w:lang w:val="es-ES_tradnl" w:eastAsia="es-CR"/>
        </w:rPr>
      </w:pPr>
      <w:r w:rsidRPr="00BE1AF5">
        <w:rPr>
          <w:rFonts w:ascii="Arial" w:eastAsia="Times New Roman" w:hAnsi="Arial" w:cs="Arial"/>
          <w:color w:val="333333"/>
          <w:sz w:val="24"/>
          <w:szCs w:val="24"/>
          <w:lang w:val="es-ES_tradnl" w:eastAsia="es-CR"/>
        </w:rPr>
        <w:t>Decreto</w:t>
      </w:r>
    </w:p>
    <w:p w:rsidR="005A7DD7" w:rsidRPr="00BE1AF5" w:rsidRDefault="005A7DD7" w:rsidP="00BE1AF5">
      <w:pPr>
        <w:shd w:val="clear" w:color="auto" w:fill="FFFFFF"/>
        <w:spacing w:after="0" w:line="240" w:lineRule="auto"/>
        <w:jc w:val="both"/>
        <w:outlineLvl w:val="1"/>
        <w:rPr>
          <w:rFonts w:ascii="Arial" w:eastAsia="Times New Roman" w:hAnsi="Arial" w:cs="Arial"/>
          <w:color w:val="333333"/>
          <w:sz w:val="24"/>
          <w:szCs w:val="24"/>
          <w:lang w:eastAsia="es-CR"/>
        </w:rPr>
      </w:pPr>
      <w:r w:rsidRPr="00BE1AF5">
        <w:rPr>
          <w:rFonts w:ascii="Arial" w:eastAsia="Times New Roman" w:hAnsi="Arial" w:cs="Arial"/>
          <w:color w:val="333333"/>
          <w:sz w:val="24"/>
          <w:szCs w:val="24"/>
          <w:lang w:val="es-ES_tradnl" w:eastAsia="es-CR"/>
        </w:rPr>
        <w:t>N° 41553-MTSS</w:t>
      </w:r>
    </w:p>
    <w:p w:rsidR="005A7DD7" w:rsidRDefault="005A7DD7" w:rsidP="00BE1AF5">
      <w:pPr>
        <w:shd w:val="clear" w:color="auto" w:fill="FFFFFF"/>
        <w:spacing w:after="0" w:line="240" w:lineRule="auto"/>
        <w:jc w:val="both"/>
        <w:rPr>
          <w:rFonts w:ascii="Arial" w:eastAsia="Times New Roman" w:hAnsi="Arial" w:cs="Arial"/>
          <w:color w:val="707173"/>
          <w:sz w:val="24"/>
          <w:szCs w:val="24"/>
          <w:lang w:val="es-ES_tradnl" w:eastAsia="es-CR"/>
        </w:rPr>
      </w:pPr>
      <w:r w:rsidRPr="005A7DD7">
        <w:rPr>
          <w:rFonts w:ascii="Arial" w:eastAsia="Times New Roman" w:hAnsi="Arial" w:cs="Arial"/>
          <w:color w:val="707173"/>
          <w:sz w:val="24"/>
          <w:szCs w:val="24"/>
          <w:lang w:val="es-ES_tradnl" w:eastAsia="es-CR"/>
        </w:rPr>
        <w:t>El PRESIDENTE DE LA REPÚBLICA</w:t>
      </w:r>
      <w:r w:rsidR="00BE1AF5">
        <w:rPr>
          <w:rFonts w:ascii="Arial" w:eastAsia="Times New Roman" w:hAnsi="Arial" w:cs="Arial"/>
          <w:color w:val="707173"/>
          <w:sz w:val="24"/>
          <w:szCs w:val="24"/>
          <w:lang w:val="es-ES_tradnl" w:eastAsia="es-CR"/>
        </w:rPr>
        <w:t xml:space="preserve"> </w:t>
      </w:r>
      <w:r w:rsidRPr="005A7DD7">
        <w:rPr>
          <w:rFonts w:ascii="Arial" w:eastAsia="Times New Roman" w:hAnsi="Arial" w:cs="Arial"/>
          <w:color w:val="707173"/>
          <w:sz w:val="24"/>
          <w:szCs w:val="24"/>
          <w:lang w:val="es-ES_tradnl" w:eastAsia="es-CR"/>
        </w:rPr>
        <w:t>Y EL MINISTRO DE TRABAJO Y SEGURIDAD SOCIAL</w:t>
      </w:r>
    </w:p>
    <w:p w:rsidR="00BE1AF5" w:rsidRPr="005A7DD7" w:rsidRDefault="00BE1AF5" w:rsidP="00BE1AF5">
      <w:pPr>
        <w:shd w:val="clear" w:color="auto" w:fill="FFFFFF"/>
        <w:spacing w:after="0" w:line="240" w:lineRule="auto"/>
        <w:jc w:val="both"/>
        <w:rPr>
          <w:rFonts w:ascii="Arial" w:eastAsia="Times New Roman" w:hAnsi="Arial" w:cs="Arial"/>
          <w:color w:val="707173"/>
          <w:sz w:val="24"/>
          <w:szCs w:val="24"/>
          <w:lang w:eastAsia="es-CR"/>
        </w:rPr>
      </w:pP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En uso de las facultades que les confieren los incisos 3), 18) y 20) del artículo 140, en concordancia con los artículos 62, 191 y 192 de la Constitución Política, con fundamento en los numerales 25, 27 28, 111 y 112 de la Ley General de la Administración Pública, y en desarrollo de lo establecido en el artículo 2° incisos a) y b) de la Ley Orgánica del Ministerio de Trabajo y Seguridad Social.</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i/>
          <w:iCs/>
          <w:color w:val="707173"/>
          <w:sz w:val="24"/>
          <w:szCs w:val="24"/>
          <w:lang w:val="es-ES_tradnl" w:eastAsia="es-CR"/>
        </w:rPr>
        <w:t>Considerando:</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I.—Que el Código de Trabajo, la Ley General de la Administración Pública y la Jurisprudencia de la Sala Constitucional, reconocen la existencia de servidores que no ejercen gestión pública dentro de la Administración Pública, lo mismo que reconocen la aplicación del derecho común para los empleados, obreros y trabajadores de las empresas y de los servicios económicos del Estado; todo lo cual permite la existencia y aplicación de un régimen de empleo de naturaleza laboral para tales servidores, dentro del que es posible la negociación de convenciones colectivas de trabajo.</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II.—Que la Sala Constitucional ha reiterado que, la negociación de convenciones colectivas en el sector público, en el que resulta constitucional dicho instrumento jurídico, debe respetar las leyes, reglamentos o directrices gubernamentales vigentes.</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III.—Que con el objeto de lograr equilibrio entre las normas y principios constitucionales que rigen la materia, es necesario establecer reglas especiales de negociación de convenciones colectivas en el sector público, que garanticen los derechos de los servidores públicos y las potestades públicas, así como la eficiencia y la continuidad de los servicios públicos y el bloque de legalidad que priva en el actuar de la Administración Pública.</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IV.—Que, a partir de la jurisprudencia de la Sala Constitucional sobre la negociación de convenciones colectivas en el Sector Público, se requiere una solución concertada de los conflictos en el régimen de empleo de naturaleza pública, que es necesario resolver en aras de la paz social.</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V.—Que la Procuraduría General de la República, en dictamen N° C-322-2005 del 06 de setiembre de 2005, dispuso: </w:t>
      </w:r>
      <w:r w:rsidRPr="005A7DD7">
        <w:rPr>
          <w:rFonts w:ascii="Arial" w:eastAsia="Times New Roman" w:hAnsi="Arial" w:cs="Arial"/>
          <w:i/>
          <w:iCs/>
          <w:color w:val="707173"/>
          <w:sz w:val="24"/>
          <w:szCs w:val="24"/>
          <w:lang w:val="es-ES_tradnl" w:eastAsia="es-CR"/>
        </w:rPr>
        <w:t>“(...) la Procuraduría General de la República ha insistido en que toda negociación colectiva en el Sector Público inexorablemente debe darse dentro del marco de los lineamientos, estructura y procedimiento establecido en aquella normativa reglamentaria (decreto ejecutivo N° 29576-MTSS </w:t>
      </w:r>
      <w:proofErr w:type="spellStart"/>
      <w:r w:rsidRPr="005A7DD7">
        <w:rPr>
          <w:rFonts w:ascii="Arial" w:eastAsia="Times New Roman" w:hAnsi="Arial" w:cs="Arial"/>
          <w:i/>
          <w:iCs/>
          <w:color w:val="707173"/>
          <w:sz w:val="24"/>
          <w:szCs w:val="24"/>
          <w:lang w:val="es-ES_tradnl" w:eastAsia="es-CR"/>
        </w:rPr>
        <w:t>op</w:t>
      </w:r>
      <w:proofErr w:type="spellEnd"/>
      <w:r w:rsidRPr="005A7DD7">
        <w:rPr>
          <w:rFonts w:ascii="Arial" w:eastAsia="Times New Roman" w:hAnsi="Arial" w:cs="Arial"/>
          <w:i/>
          <w:iCs/>
          <w:color w:val="707173"/>
          <w:sz w:val="24"/>
          <w:szCs w:val="24"/>
          <w:lang w:val="es-ES_tradnl" w:eastAsia="es-CR"/>
        </w:rPr>
        <w:t>. </w:t>
      </w:r>
      <w:proofErr w:type="gramStart"/>
      <w:r w:rsidRPr="005A7DD7">
        <w:rPr>
          <w:rFonts w:ascii="Arial" w:eastAsia="Times New Roman" w:hAnsi="Arial" w:cs="Arial"/>
          <w:i/>
          <w:iCs/>
          <w:color w:val="707173"/>
          <w:sz w:val="24"/>
          <w:szCs w:val="24"/>
          <w:lang w:val="es-ES_tradnl" w:eastAsia="es-CR"/>
        </w:rPr>
        <w:t>cit. )</w:t>
      </w:r>
      <w:proofErr w:type="gramEnd"/>
      <w:r w:rsidRPr="005A7DD7">
        <w:rPr>
          <w:rFonts w:ascii="Arial" w:eastAsia="Times New Roman" w:hAnsi="Arial" w:cs="Arial"/>
          <w:i/>
          <w:iCs/>
          <w:color w:val="707173"/>
          <w:sz w:val="24"/>
          <w:szCs w:val="24"/>
          <w:lang w:val="es-ES_tradnl" w:eastAsia="es-CR"/>
        </w:rPr>
        <w:t>, y siempre sujeta y limitada, además, por lo dispuesto en leyes de orden público y demás disposiciones de carácter imperativo vigentes en nuestro ordenamiento, hasta tanto se promulgue la legislación tendiente a regular dicha materia (...).”</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VI.—Que mediante Decreto Ejecutivo N° 29576-MTSS del 31 de mayo de 2001 </w:t>
      </w:r>
      <w:r w:rsidRPr="005A7DD7">
        <w:rPr>
          <w:rFonts w:ascii="Arial" w:eastAsia="Times New Roman" w:hAnsi="Arial" w:cs="Arial"/>
          <w:i/>
          <w:iCs/>
          <w:color w:val="707173"/>
          <w:sz w:val="24"/>
          <w:szCs w:val="24"/>
          <w:lang w:val="es-ES_tradnl" w:eastAsia="es-CR"/>
        </w:rPr>
        <w:t xml:space="preserve">“Reglamento para la negociación de convenciones colectivos en el Sector </w:t>
      </w:r>
      <w:r w:rsidRPr="005A7DD7">
        <w:rPr>
          <w:rFonts w:ascii="Arial" w:eastAsia="Times New Roman" w:hAnsi="Arial" w:cs="Arial"/>
          <w:i/>
          <w:iCs/>
          <w:color w:val="707173"/>
          <w:sz w:val="24"/>
          <w:szCs w:val="24"/>
          <w:lang w:val="es-ES_tradnl" w:eastAsia="es-CR"/>
        </w:rPr>
        <w:lastRenderedPageBreak/>
        <w:t>Público”</w:t>
      </w:r>
      <w:r w:rsidRPr="005A7DD7">
        <w:rPr>
          <w:rFonts w:ascii="Arial" w:eastAsia="Times New Roman" w:hAnsi="Arial" w:cs="Arial"/>
          <w:color w:val="707173"/>
          <w:sz w:val="24"/>
          <w:szCs w:val="24"/>
          <w:lang w:val="es-ES_tradnl" w:eastAsia="es-CR"/>
        </w:rPr>
        <w:t> regula el procedimiento de negociación colectiva de los servidores que no ejercen gestión pública de la administración.</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VII.—Que la Ley N° 9343 Reforma Procesal Laboral del 25 de enero de 2016, vigente desde el 25 de julio del año 2017, cuenta con un Capítulo Tercero del Código de Trabajo referente al procedimiento para la Negociación Colectiva en el Sector Público, mismo que regula la materia de las relaciones colectivas en el sector público.</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VIII.—Que el criterio N° C-085-2018 del 25 de abril del año 2018 de la Procuraduría General de la República, concluye en lo conducente que: </w:t>
      </w:r>
      <w:r w:rsidRPr="005A7DD7">
        <w:rPr>
          <w:rFonts w:ascii="Arial" w:eastAsia="Times New Roman" w:hAnsi="Arial" w:cs="Arial"/>
          <w:i/>
          <w:iCs/>
          <w:color w:val="707173"/>
          <w:sz w:val="24"/>
          <w:szCs w:val="24"/>
          <w:lang w:val="es-ES_tradnl" w:eastAsia="es-CR"/>
        </w:rPr>
        <w:t>“En lo que respecta al contenido normativo regulatorio específico del procedimiento de negociación colectiva en el Sector Público, por su innegable incompatibilidad normativa con lo estipulado en la reforma Procesal Laboral, existe una derogación tácita parcial del Decreto Ejecutivo N 29576-MTSS. (...) Mientras que en lo atinente a la creación, conformación y regulación de la denominada Comisión de Políticas para la Negociación de Convenciones Colectivas en el Sector Público (arts. 12 y 13 del citado Reglamento), como órgano interno de asesoramiento y apoyo técnico de las entidades públicas patronales, lo dispuesto en el citado Decreto Ejecutivo Nº 29576-MTSS, continúa formando parte del ordenamiento jurídico, manteniendo su vigencia”</w:t>
      </w:r>
      <w:r w:rsidRPr="005A7DD7">
        <w:rPr>
          <w:rFonts w:ascii="Arial" w:eastAsia="Times New Roman" w:hAnsi="Arial" w:cs="Arial"/>
          <w:color w:val="707173"/>
          <w:sz w:val="24"/>
          <w:szCs w:val="24"/>
          <w:lang w:val="es-ES_tradnl" w:eastAsia="es-CR"/>
        </w:rPr>
        <w:t>.</w:t>
      </w:r>
    </w:p>
    <w:p w:rsidR="005A7DD7" w:rsidRDefault="005A7DD7" w:rsidP="00BE1AF5">
      <w:pPr>
        <w:shd w:val="clear" w:color="auto" w:fill="FFFFFF"/>
        <w:spacing w:after="0" w:line="240" w:lineRule="auto"/>
        <w:jc w:val="both"/>
        <w:rPr>
          <w:rFonts w:ascii="Arial" w:eastAsia="Times New Roman" w:hAnsi="Arial" w:cs="Arial"/>
          <w:b/>
          <w:bCs/>
          <w:color w:val="707173"/>
          <w:sz w:val="24"/>
          <w:szCs w:val="24"/>
          <w:lang w:val="es-ES_tradnl" w:eastAsia="es-CR"/>
        </w:rPr>
      </w:pPr>
      <w:r w:rsidRPr="005A7DD7">
        <w:rPr>
          <w:rFonts w:ascii="Arial" w:eastAsia="Times New Roman" w:hAnsi="Arial" w:cs="Arial"/>
          <w:color w:val="707173"/>
          <w:sz w:val="24"/>
          <w:szCs w:val="24"/>
          <w:lang w:val="es-ES_tradnl" w:eastAsia="es-CR"/>
        </w:rPr>
        <w:t>IX.—Que es necesario adecuar el Decreto N° 29576-MTSS a las disposiciones de la Reforma Procesal Laboral. </w:t>
      </w:r>
      <w:r w:rsidRPr="005A7DD7">
        <w:rPr>
          <w:rFonts w:ascii="Arial" w:eastAsia="Times New Roman" w:hAnsi="Arial" w:cs="Arial"/>
          <w:b/>
          <w:bCs/>
          <w:color w:val="707173"/>
          <w:sz w:val="24"/>
          <w:szCs w:val="24"/>
          <w:lang w:val="es-ES_tradnl" w:eastAsia="es-CR"/>
        </w:rPr>
        <w:t>Por tanto,</w:t>
      </w:r>
    </w:p>
    <w:p w:rsidR="00BE1AF5" w:rsidRPr="005A7DD7" w:rsidRDefault="00BE1AF5" w:rsidP="00BE1AF5">
      <w:pPr>
        <w:shd w:val="clear" w:color="auto" w:fill="FFFFFF"/>
        <w:spacing w:after="0" w:line="240" w:lineRule="auto"/>
        <w:jc w:val="both"/>
        <w:rPr>
          <w:rFonts w:ascii="Arial" w:eastAsia="Times New Roman" w:hAnsi="Arial" w:cs="Arial"/>
          <w:color w:val="707173"/>
          <w:sz w:val="24"/>
          <w:szCs w:val="24"/>
          <w:lang w:eastAsia="es-CR"/>
        </w:rPr>
      </w:pP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D</w:t>
      </w:r>
      <w:r w:rsidRPr="005A7DD7">
        <w:rPr>
          <w:rFonts w:ascii="Arial" w:eastAsia="Times New Roman" w:hAnsi="Arial" w:cs="Arial"/>
          <w:smallCaps/>
          <w:color w:val="707173"/>
          <w:sz w:val="24"/>
          <w:szCs w:val="24"/>
          <w:lang w:val="es-ES_tradnl" w:eastAsia="es-CR"/>
        </w:rPr>
        <w:t>ecretan:</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“REGLAMENTO PARA EL FUNCIONAMIENTO</w:t>
      </w:r>
      <w:r w:rsidR="00BE1AF5">
        <w:rPr>
          <w:rFonts w:ascii="Arial" w:eastAsia="Times New Roman" w:hAnsi="Arial" w:cs="Arial"/>
          <w:color w:val="707173"/>
          <w:sz w:val="24"/>
          <w:szCs w:val="24"/>
          <w:lang w:val="es-ES_tradnl" w:eastAsia="es-CR"/>
        </w:rPr>
        <w:t xml:space="preserve"> </w:t>
      </w:r>
      <w:r w:rsidRPr="005A7DD7">
        <w:rPr>
          <w:rFonts w:ascii="Arial" w:eastAsia="Times New Roman" w:hAnsi="Arial" w:cs="Arial"/>
          <w:color w:val="707173"/>
          <w:sz w:val="24"/>
          <w:szCs w:val="24"/>
          <w:lang w:val="es-ES_tradnl" w:eastAsia="es-CR"/>
        </w:rPr>
        <w:t>DE LA COMISIÓN DE POLÍTICAS PARA LA</w:t>
      </w:r>
      <w:r w:rsidR="00BE1AF5">
        <w:rPr>
          <w:rFonts w:ascii="Arial" w:eastAsia="Times New Roman" w:hAnsi="Arial" w:cs="Arial"/>
          <w:color w:val="707173"/>
          <w:sz w:val="24"/>
          <w:szCs w:val="24"/>
          <w:lang w:val="es-ES_tradnl" w:eastAsia="es-CR"/>
        </w:rPr>
        <w:t xml:space="preserve"> </w:t>
      </w:r>
      <w:r w:rsidRPr="005A7DD7">
        <w:rPr>
          <w:rFonts w:ascii="Arial" w:eastAsia="Times New Roman" w:hAnsi="Arial" w:cs="Arial"/>
          <w:color w:val="707173"/>
          <w:sz w:val="24"/>
          <w:szCs w:val="24"/>
          <w:lang w:val="es-ES_tradnl" w:eastAsia="es-CR"/>
        </w:rPr>
        <w:t>NEGOCIACIÓN DE CONVENCIONES</w:t>
      </w:r>
    </w:p>
    <w:p w:rsidR="005A7DD7" w:rsidRDefault="005A7DD7" w:rsidP="00BE1AF5">
      <w:pPr>
        <w:shd w:val="clear" w:color="auto" w:fill="FFFFFF"/>
        <w:spacing w:after="0" w:line="240" w:lineRule="auto"/>
        <w:jc w:val="both"/>
        <w:rPr>
          <w:rFonts w:ascii="Arial" w:eastAsia="Times New Roman" w:hAnsi="Arial" w:cs="Arial"/>
          <w:color w:val="707173"/>
          <w:sz w:val="24"/>
          <w:szCs w:val="24"/>
          <w:lang w:val="es-ES_tradnl" w:eastAsia="es-CR"/>
        </w:rPr>
      </w:pPr>
      <w:r w:rsidRPr="005A7DD7">
        <w:rPr>
          <w:rFonts w:ascii="Arial" w:eastAsia="Times New Roman" w:hAnsi="Arial" w:cs="Arial"/>
          <w:color w:val="707173"/>
          <w:sz w:val="24"/>
          <w:szCs w:val="24"/>
          <w:lang w:val="es-ES_tradnl" w:eastAsia="es-CR"/>
        </w:rPr>
        <w:t>COLECTIVAS EN EL SECTOR PÚBLICO”</w:t>
      </w:r>
    </w:p>
    <w:p w:rsidR="00BE1AF5" w:rsidRPr="005A7DD7" w:rsidRDefault="00BE1AF5" w:rsidP="00BE1AF5">
      <w:pPr>
        <w:shd w:val="clear" w:color="auto" w:fill="FFFFFF"/>
        <w:spacing w:after="0" w:line="240" w:lineRule="auto"/>
        <w:jc w:val="both"/>
        <w:rPr>
          <w:rFonts w:ascii="Arial" w:eastAsia="Times New Roman" w:hAnsi="Arial" w:cs="Arial"/>
          <w:color w:val="707173"/>
          <w:sz w:val="24"/>
          <w:szCs w:val="24"/>
          <w:lang w:eastAsia="es-CR"/>
        </w:rPr>
      </w:pP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1º—La Comisión de Políticas para la Negociación de Convenciones Colectivas en el Sector Público, estará integrada por:</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  El Ministro de Trabajo y Seguridad Social o el Viceministro del ramo, quien la presidirá.</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b)  El Ministro de Hacienda, el Viceministro o su representante.</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c)  El Ministro de la Presidencia, el Viceministro o su representante.</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d)  El Director General del Servicio Civil, el Sub Director General del Servicio Civil o su representante.</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e)  Un representante de nivel jerárquico de la entidad que va a negociar la convención colectiva.</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2º—El presente reglamento será aplicable a todas las empresas e instituciones del sector público que participen de la negociación de convenciones colectivas, en el entendido de que no podrán participar de dichas negociaciones, como sus beneficiarios, las personas a quienes hacen referencia los artículos 683 y 689 del Código de Trabajo. Se excluyen de este Reglamento las Municipalidades y las Universidades Públicas, las cuales gozan de autonomía de gobierno de acuerdo con la Constitución Política.</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3º—Son atribuciones de la Comisión.</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 xml:space="preserve">a)  Dictar lineamientos generales para la negociación de convenciones colectivas en el sector público, en calidad de Comisión Asesora de todo el sector en esta </w:t>
      </w:r>
      <w:r w:rsidRPr="005A7DD7">
        <w:rPr>
          <w:rFonts w:ascii="Arial" w:eastAsia="Times New Roman" w:hAnsi="Arial" w:cs="Arial"/>
          <w:color w:val="707173"/>
          <w:sz w:val="24"/>
          <w:szCs w:val="24"/>
          <w:lang w:val="es-ES_tradnl" w:eastAsia="es-CR"/>
        </w:rPr>
        <w:lastRenderedPageBreak/>
        <w:t>materia y dentro del marco del ámbito objetivo de la negociación colectiva que contempla el artículo 690 del Código de Trabajo.</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b)  Recibir la solicitud de negociación junto con el proyecto de convención colectiva, una opinión del ente interesado sobre su contenido y alcances. Todo dentro de un plazo de 24 horas, una vez determinada en firme la legitimación de la organización u organizaciones sindicales facultadas para negociar y presentado formalmente ante cada institución o dependencia el proyecto de convención colectiva.</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c)  Dictaminar los proyectos de negociación de convenciones colectivas para el sector público, previo al inicio de cada negociación, señalando la afinidad o en su caso el divorcio entre el contenido de las normas tomando en cuenta las posibilidades legales y presupuestarias que se van a discutir, así como los lineamientos generales o específicos que haya dictado la Comisión, todo dentro de un plazo de diez días hábiles a partir del recibo de la solicitud de parte de la institución o dependencia. Tales lineamientos deberán ser considerados por los jerarcas de las empresas e instituciones del Estado a la hora de negociar, sin perjuicio de las facultades de administración que cada entidad tiene y de la responsabilidad de los jerarcas en la observación de las directrices del Poder Ejecutivo.</w:t>
      </w:r>
    </w:p>
    <w:p w:rsidR="005A7DD7" w:rsidRPr="005A7DD7" w:rsidRDefault="005A7DD7" w:rsidP="00BE1AF5">
      <w:pPr>
        <w:shd w:val="clear" w:color="auto" w:fill="FFFFFF"/>
        <w:spacing w:after="0" w:line="240" w:lineRule="auto"/>
        <w:ind w:left="480" w:hanging="240"/>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d)  Mantener el contacto necesario con la delegación patronal que participe de la negociación colectiva, durante el tiempo que dure dicha negociación, a fin de aportar el apoyo técnico y la asesoría que requiera esa delegación.</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4º—La Comisión contará con la asesoría jurídica de la Procuraduría General de la República y el concurso de los demás órganos técnicos de la Administración Pública que requiera para el mejor cumplimiento de sus fines.</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5º—En todo lo relacionado con su funcionamiento, la Comisión se regirá por las disposiciones de los artículos 49 a 58 de la Ley General de la Administración Pública, Ley N° 6227, de 2 de mayo de 1978.</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6º—Cuando los órganos jerárquicos de las empresas o entidades cubiertas por este reglamento se separen de algún lineamiento expresado por la Comisión que aquí se establece, deberán hacerlo bajo su responsabilidad, y conscientes de los compromisos presupuestarios que asumen.</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Artículo 7º—Deróguese el Decreto Ejecutivo N° 29576-MTSS, Reglamento para la negociación de convenciones colectivos en el Sector Público, </w:t>
      </w:r>
      <w:proofErr w:type="spellStart"/>
      <w:r w:rsidRPr="005A7DD7">
        <w:rPr>
          <w:rFonts w:ascii="Arial" w:eastAsia="Times New Roman" w:hAnsi="Arial" w:cs="Arial"/>
          <w:color w:val="707173"/>
          <w:sz w:val="24"/>
          <w:szCs w:val="24"/>
          <w:lang w:val="es-ES_tradnl" w:eastAsia="es-CR"/>
        </w:rPr>
        <w:t>de el</w:t>
      </w:r>
      <w:proofErr w:type="spellEnd"/>
      <w:r w:rsidRPr="005A7DD7">
        <w:rPr>
          <w:rFonts w:ascii="Arial" w:eastAsia="Times New Roman" w:hAnsi="Arial" w:cs="Arial"/>
          <w:color w:val="707173"/>
          <w:sz w:val="24"/>
          <w:szCs w:val="24"/>
          <w:lang w:val="es-ES_tradnl" w:eastAsia="es-CR"/>
        </w:rPr>
        <w:t> 31 de mayo de 2001.</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Dado en la Presidencia de la República, a los 30 días del mes de noviembre de dos mil dieciocho.</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CARLOS ALVARADO </w:t>
      </w:r>
      <w:proofErr w:type="gramStart"/>
      <w:r w:rsidRPr="005A7DD7">
        <w:rPr>
          <w:rFonts w:ascii="Arial" w:eastAsia="Times New Roman" w:hAnsi="Arial" w:cs="Arial"/>
          <w:color w:val="707173"/>
          <w:sz w:val="24"/>
          <w:szCs w:val="24"/>
          <w:lang w:val="es-ES_tradnl" w:eastAsia="es-CR"/>
        </w:rPr>
        <w:t>QUESADA.—</w:t>
      </w:r>
      <w:proofErr w:type="gramEnd"/>
      <w:r w:rsidRPr="005A7DD7">
        <w:rPr>
          <w:rFonts w:ascii="Arial" w:eastAsia="Times New Roman" w:hAnsi="Arial" w:cs="Arial"/>
          <w:color w:val="707173"/>
          <w:sz w:val="24"/>
          <w:szCs w:val="24"/>
          <w:lang w:val="es-ES_tradnl" w:eastAsia="es-CR"/>
        </w:rPr>
        <w:t>El Ministro de Trabajo y Seguridad Social, Steven Núñez </w:t>
      </w:r>
      <w:proofErr w:type="spellStart"/>
      <w:r w:rsidRPr="005A7DD7">
        <w:rPr>
          <w:rFonts w:ascii="Arial" w:eastAsia="Times New Roman" w:hAnsi="Arial" w:cs="Arial"/>
          <w:color w:val="707173"/>
          <w:sz w:val="24"/>
          <w:szCs w:val="24"/>
          <w:lang w:val="es-ES_tradnl" w:eastAsia="es-CR"/>
        </w:rPr>
        <w:t>Rímola</w:t>
      </w:r>
      <w:proofErr w:type="spellEnd"/>
      <w:r w:rsidRPr="005A7DD7">
        <w:rPr>
          <w:rFonts w:ascii="Arial" w:eastAsia="Times New Roman" w:hAnsi="Arial" w:cs="Arial"/>
          <w:color w:val="707173"/>
          <w:sz w:val="24"/>
          <w:szCs w:val="24"/>
          <w:lang w:val="es-ES_tradnl" w:eastAsia="es-CR"/>
        </w:rPr>
        <w:t>.—1 vez.—O.C. N° 4600020159.—Solicitud N° 011-2019-DM.—( D41553 - IN2019338680 ).</w:t>
      </w:r>
    </w:p>
    <w:p w:rsidR="005A7DD7" w:rsidRPr="005A7DD7" w:rsidRDefault="005A7DD7" w:rsidP="00BE1AF5">
      <w:pPr>
        <w:shd w:val="clear" w:color="auto" w:fill="FFFFFF"/>
        <w:spacing w:after="0" w:line="240" w:lineRule="auto"/>
        <w:jc w:val="both"/>
        <w:rPr>
          <w:rFonts w:ascii="Arial" w:eastAsia="Times New Roman" w:hAnsi="Arial" w:cs="Arial"/>
          <w:color w:val="707173"/>
          <w:sz w:val="24"/>
          <w:szCs w:val="24"/>
          <w:lang w:eastAsia="es-CR"/>
        </w:rPr>
      </w:pPr>
      <w:r w:rsidRPr="005A7DD7">
        <w:rPr>
          <w:rFonts w:ascii="Arial" w:eastAsia="Times New Roman" w:hAnsi="Arial" w:cs="Arial"/>
          <w:color w:val="707173"/>
          <w:sz w:val="24"/>
          <w:szCs w:val="24"/>
          <w:lang w:val="es-ES_tradnl" w:eastAsia="es-CR"/>
        </w:rPr>
        <w:t>N° 41652 -H</w:t>
      </w:r>
    </w:p>
    <w:p w:rsidR="00E417D7" w:rsidRDefault="00E417D7" w:rsidP="00BE1AF5">
      <w:pPr>
        <w:jc w:val="both"/>
      </w:pPr>
    </w:p>
    <w:sectPr w:rsidR="00E417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DD7"/>
    <w:rsid w:val="005A7DD7"/>
    <w:rsid w:val="00BE1AF5"/>
    <w:rsid w:val="00E417D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B0686"/>
  <w15:chartTrackingRefBased/>
  <w15:docId w15:val="{26E2B53F-71C7-4332-8C97-69CAAB724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5A7DD7"/>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5A7DD7"/>
    <w:rPr>
      <w:rFonts w:ascii="Times New Roman" w:eastAsia="Times New Roman" w:hAnsi="Times New Roman" w:cs="Times New Roman"/>
      <w:b/>
      <w:bCs/>
      <w:sz w:val="36"/>
      <w:szCs w:val="36"/>
      <w:lang w:eastAsia="es-CR"/>
    </w:rPr>
  </w:style>
  <w:style w:type="character" w:customStyle="1" w:styleId="spelle">
    <w:name w:val="spelle"/>
    <w:basedOn w:val="Fuentedeprrafopredeter"/>
    <w:rsid w:val="005A7DD7"/>
  </w:style>
  <w:style w:type="character" w:customStyle="1" w:styleId="grame">
    <w:name w:val="grame"/>
    <w:basedOn w:val="Fuentedeprrafopredeter"/>
    <w:rsid w:val="005A7DD7"/>
  </w:style>
  <w:style w:type="paragraph" w:styleId="Textodeglobo">
    <w:name w:val="Balloon Text"/>
    <w:basedOn w:val="Normal"/>
    <w:link w:val="TextodegloboCar"/>
    <w:uiPriority w:val="99"/>
    <w:semiHidden/>
    <w:unhideWhenUsed/>
    <w:rsid w:val="00BE1AF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E1A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171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1303</Words>
  <Characters>7170</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Abarca Anchia</dc:creator>
  <cp:keywords/>
  <dc:description/>
  <cp:lastModifiedBy>Lorena Abarca Anchia</cp:lastModifiedBy>
  <cp:revision>3</cp:revision>
  <cp:lastPrinted>2019-05-10T14:04:00Z</cp:lastPrinted>
  <dcterms:created xsi:type="dcterms:W3CDTF">2019-05-10T14:01:00Z</dcterms:created>
  <dcterms:modified xsi:type="dcterms:W3CDTF">2019-05-10T14:04:00Z</dcterms:modified>
</cp:coreProperties>
</file>